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Regulamin promowania kampanii reklamowych w Aplikacji NOW</w:t>
      </w:r>
    </w:p>
    <w:p>
      <w:pPr>
        <w:spacing w:after="360"/>
      </w:pP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Wersja robocza z dnia 24.08.2026 — wymaga weryfikacji prawnej przed publikacją</w:t>
      </w:r>
    </w:p>
    <w:p>
      <w:pPr>
        <w:pBdr>
          <w:left w:val="single" w:color="C0392B" w:sz="12" w:space="8"/>
        </w:pBdr>
        <w:spacing w:after="200" w:before="80"/>
        <w:ind w:left="360"/>
      </w:pPr>
      <w:r>
        <w:rPr>
          <w:rFonts w:ascii="Calibri" w:cs="Calibri" w:eastAsia="Calibri" w:hAnsi="Calibri"/>
          <w:b/>
          <w:bCs/>
          <w:color w:val="C0392B"/>
          <w:sz w:val="20"/>
          <w:szCs w:val="20"/>
        </w:rPr>
        <w:t xml:space="preserve">UWAGA REDAKCYJNA: </w:t>
      </w:r>
      <w:r>
        <w:rPr>
          <w:rFonts w:ascii="Calibri" w:cs="Calibri" w:eastAsia="Calibri" w:hAnsi="Calibri"/>
          <w:i/>
          <w:iCs/>
          <w:color w:val="C0392B"/>
          <w:sz w:val="20"/>
          <w:szCs w:val="20"/>
        </w:rPr>
        <w:t xml:space="preserve">Jak w dokumencie Premium: dane Usługodawcy (firma, adres, NIP, REGON, KRS, e-mail, adres do doręczeń) — do uzupełnienia przed publikacją.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Usługodawca: NOW [pełna nazwa firmy — do uzupełnienia], [adres], NIP [—], e-mail: [—].</w:t>
      </w:r>
    </w:p>
    <w:p>
      <w:pPr>
        <w:pStyle w:val="Heading2"/>
        <w:spacing w:after="140" w:before="32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§ 1. Postanowienia ogólne i definicje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1. Regulamin określa zasady zgłaszania i opłacania kampanii promocyjnych w Aplikacji NOW przez podmioty prowadzące działalność gospodarczą lub inne organizacje (dalej: „Reklamodawca”).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2. Reklamodawca nie musi posiadać konta Użytkownika Aplikacji NOW — zgłoszenie kampanii odbywa się przez odrębny, publicznie dostępny formularz.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3. Ilekroć w Regulaminie mowa o „Kampanii”, rozumie się przez to zgłoszoną przez Reklamodawcę treść promocyjną wraz z okresem jej aktywności w Aplikacji.</w:t>
      </w:r>
    </w:p>
    <w:p>
      <w:pPr>
        <w:pStyle w:val="Heading2"/>
        <w:spacing w:after="140" w:before="32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§ 2. Uczciwy zakres usługi — co faktycznie obejmuje Kampania</w:t>
      </w:r>
    </w:p>
    <w:p>
      <w:pPr>
        <w:pBdr>
          <w:left w:val="single" w:color="C0392B" w:sz="12" w:space="8"/>
        </w:pBdr>
        <w:spacing w:after="200" w:before="80"/>
        <w:ind w:left="360"/>
      </w:pPr>
      <w:r>
        <w:rPr>
          <w:rFonts w:ascii="Calibri" w:cs="Calibri" w:eastAsia="Calibri" w:hAnsi="Calibri"/>
          <w:b/>
          <w:bCs/>
          <w:color w:val="C0392B"/>
          <w:sz w:val="20"/>
          <w:szCs w:val="20"/>
        </w:rPr>
        <w:t xml:space="preserve">UWAGA REDAKCYJNA: </w:t>
      </w:r>
      <w:r>
        <w:rPr>
          <w:rFonts w:ascii="Calibri" w:cs="Calibri" w:eastAsia="Calibri" w:hAnsi="Calibri"/>
          <w:i/>
          <w:iCs/>
          <w:color w:val="C0392B"/>
          <w:sz w:val="20"/>
          <w:szCs w:val="20"/>
        </w:rPr>
        <w:t xml:space="preserve">To jest najważniejsza sekcja tego dokumentu z punktu widzenia ryzyka prawnego. W obecnym stanie Aplikacji zgłoszenie Kampanii i jej opłacenie powoduje wyłącznie zmianę statusu rekordu kampanii w systemie na „aktywna” wraz z ustawieniem okna czasowego (src/billing.js → aktywujKampanie). NIE ISTNIEJE jeszcze żaden interfejs w Aplikacji, który realnie wyświetlałby Kampanię Użytkownikom (brak dedykowanego miejsca reklamowego w UI). Dopóki taki interfejs nie zostanie wdrożony, ten Regulamin — a tym bardziej jakiekolwiek pobieranie realnych opłat od Reklamodawców — nie powinien być publikowany ani udostępniany podmiotom trzecim. Ten dokument i towarzyszący mu system płatności (src/routes/reklamy.js) należy traktować jako szkielet gotowy do włączenia usługi, nie jako usługę gotową do sprzedaży.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1. Status „aktywna” Kampanii oznacza, że zgłoszenie zostało przyjęte i opłacone, oraz że treść Kampanii będzie prezentowana Użytkownikom Aplikacji zgodnie z bieżącym sposobem ekspozycji miejsc promowanych, wdrożonym w danej wersji Aplikacji.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2. Usługodawca nie gwarantuje: konkretnej liczby wyświetleń, konkretnego miejsca ani formy ekspozycji Kampanii, ani żadnych efektów biznesowych (np. liczby dołączeń, zasięgu) wynikających z promowania Kampanii.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3. Zakres i sposób ekspozycji Kampanii może się zmieniać wraz z rozwojem funkcjonalności Aplikacji.</w:t>
      </w:r>
    </w:p>
    <w:p>
      <w:pPr>
        <w:pStyle w:val="Heading2"/>
        <w:spacing w:after="140" w:before="32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§ 3. Cena i okres kampanii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1. Cena promowania jednej Kampanii wynosi 299,00 zł za okres 7 dni.</w:t>
      </w:r>
    </w:p>
    <w:p>
      <w:pPr>
        <w:pBdr>
          <w:left w:val="single" w:color="C0392B" w:sz="12" w:space="8"/>
        </w:pBdr>
        <w:spacing w:after="200" w:before="80"/>
        <w:ind w:left="360"/>
      </w:pPr>
      <w:r>
        <w:rPr>
          <w:rFonts w:ascii="Calibri" w:cs="Calibri" w:eastAsia="Calibri" w:hAnsi="Calibri"/>
          <w:b/>
          <w:bCs/>
          <w:color w:val="C0392B"/>
          <w:sz w:val="20"/>
          <w:szCs w:val="20"/>
        </w:rPr>
        <w:t xml:space="preserve">UWAGA REDAKCYJNA: </w:t>
      </w:r>
      <w:r>
        <w:rPr>
          <w:rFonts w:ascii="Calibri" w:cs="Calibri" w:eastAsia="Calibri" w:hAnsi="Calibri"/>
          <w:i/>
          <w:iCs/>
          <w:color w:val="C0392B"/>
          <w:sz w:val="20"/>
          <w:szCs w:val="20"/>
        </w:rPr>
        <w:t xml:space="preserve">Jak w dokumencie Premium: status VAT ceny do potwierdzenia.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2. Każda Kampania wymaga odrębnego zgłoszenia i odrębnej płatności — usługa nie odnawia się automatycznie.</w:t>
      </w:r>
    </w:p>
    <w:p>
      <w:pPr>
        <w:pStyle w:val="Heading2"/>
        <w:spacing w:after="140" w:before="32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§ 4. Zgłoszenie i wymagane dane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1. Zgłoszenie Kampanii wymaga podania: nazwy firmy, adresu e-mail kontaktowego oraz nazwy Kampanii; opcjonalnie: numeru NIP, numeru telefonu kontaktowego i treści Kampanii.</w:t>
      </w:r>
    </w:p>
    <w:p>
      <w:pPr>
        <w:pBdr>
          <w:left w:val="single" w:color="C0392B" w:sz="12" w:space="8"/>
        </w:pBdr>
        <w:spacing w:after="200" w:before="80"/>
        <w:ind w:left="360"/>
      </w:pPr>
      <w:r>
        <w:rPr>
          <w:rFonts w:ascii="Calibri" w:cs="Calibri" w:eastAsia="Calibri" w:hAnsi="Calibri"/>
          <w:b/>
          <w:bCs/>
          <w:color w:val="C0392B"/>
          <w:sz w:val="20"/>
          <w:szCs w:val="20"/>
        </w:rPr>
        <w:t xml:space="preserve">UWAGA REDAKCYJNA: </w:t>
      </w:r>
      <w:r>
        <w:rPr>
          <w:rFonts w:ascii="Calibri" w:cs="Calibri" w:eastAsia="Calibri" w:hAnsi="Calibri"/>
          <w:i/>
          <w:iCs/>
          <w:color w:val="C0392B"/>
          <w:sz w:val="20"/>
          <w:szCs w:val="20"/>
        </w:rPr>
        <w:t xml:space="preserve">Formularz zgłoszeniowy (src/routes/reklamy.js) obecnie NIE zbiera danych rozliczeniowych/fakturowych (pełna nazwa firmy do faktury, adres siedziby) ani nie waliduje numeru NIP. Jeśli Usługodawca zamierza wystawiać faktury VAT, formularz i ten paragraf muszą zostać rozszerzone przed uruchomieniem realnych płatności.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2. Reklamodawca ponosi pełną odpowiedzialność za zgodność z prawem i prawdziwość treści zgłaszanej Kampanii.</w:t>
      </w:r>
    </w:p>
    <w:p>
      <w:pPr>
        <w:pStyle w:val="Heading2"/>
        <w:spacing w:after="140" w:before="32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§ 5. Treści zakazane i moderacja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1. Zabronione jest zgłaszanie Kampanii zawierających treści: niezgodne z prawem, wprowadzające w błąd, naruszające dobra osobiste lub prawa własności intelektualnej osób trzecich, o charakterze dyskryminującym, przedstawiające treści dla dorosłych, hazard, wyroby tytoniowe, alkohol (w zakresie sprzecznym z ustawą o wychowaniu w trzeźwości) lub inne kategorie objęte odrębnymi ograniczeniami reklamowymi w prawie polskim.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2. Usługodawca zastrzega sobie prawo odmowy aktywacji lub zawieszenia już aktywnej Kampanii naruszającej ust. 1, z zachowaniem prawa Reklamodawcy do zwrotu proporcjonalnej części opłaty za niewykorzystany okres.</w:t>
      </w:r>
    </w:p>
    <w:p>
      <w:pPr>
        <w:pBdr>
          <w:left w:val="single" w:color="C0392B" w:sz="12" w:space="8"/>
        </w:pBdr>
        <w:spacing w:after="200" w:before="80"/>
        <w:ind w:left="360"/>
      </w:pPr>
      <w:r>
        <w:rPr>
          <w:rFonts w:ascii="Calibri" w:cs="Calibri" w:eastAsia="Calibri" w:hAnsi="Calibri"/>
          <w:b/>
          <w:bCs/>
          <w:color w:val="C0392B"/>
          <w:sz w:val="20"/>
          <w:szCs w:val="20"/>
        </w:rPr>
        <w:t xml:space="preserve">UWAGA REDAKCYJNA: </w:t>
      </w:r>
      <w:r>
        <w:rPr>
          <w:rFonts w:ascii="Calibri" w:cs="Calibri" w:eastAsia="Calibri" w:hAnsi="Calibri"/>
          <w:i/>
          <w:iCs/>
          <w:color w:val="C0392B"/>
          <w:sz w:val="20"/>
          <w:szCs w:val="20"/>
        </w:rPr>
        <w:t xml:space="preserve">Obecny system nie ma zaimplementowanego mechanizmu moderacji ani zawieszania aktywnej kampanii (status w bazie to tylko: oczekuje_platnosci | aktywna | zakonczona | anulowana, bez przepływu 'zawieszona'). Wymaga dodania przed publicznym uruchomieniem, jeśli Usługodawca chce mieć realną podstawę do usunięcia nielegalnej treści.</w:t>
      </w:r>
    </w:p>
    <w:p>
      <w:pPr>
        <w:pStyle w:val="Heading2"/>
        <w:spacing w:after="140" w:before="32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§ 6. Płatność i aktywacja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1. Płatność następuje przelewem tradycyjnym na rachunek bankowy Usługodawcy, z tytułem przelewu (referencją) wygenerowanym indywidualnie dla zgłoszenia.</w:t>
      </w:r>
    </w:p>
    <w:p>
      <w:pPr>
        <w:pBdr>
          <w:left w:val="single" w:color="C0392B" w:sz="12" w:space="8"/>
        </w:pBdr>
        <w:spacing w:after="200" w:before="80"/>
        <w:ind w:left="360"/>
      </w:pPr>
      <w:r>
        <w:rPr>
          <w:rFonts w:ascii="Calibri" w:cs="Calibri" w:eastAsia="Calibri" w:hAnsi="Calibri"/>
          <w:b/>
          <w:bCs/>
          <w:color w:val="C0392B"/>
          <w:sz w:val="20"/>
          <w:szCs w:val="20"/>
        </w:rPr>
        <w:t xml:space="preserve">UWAGA REDAKCYJNA: </w:t>
      </w:r>
      <w:r>
        <w:rPr>
          <w:rFonts w:ascii="Calibri" w:cs="Calibri" w:eastAsia="Calibri" w:hAnsi="Calibri"/>
          <w:i/>
          <w:iCs/>
          <w:color w:val="C0392B"/>
          <w:sz w:val="20"/>
          <w:szCs w:val="20"/>
        </w:rPr>
        <w:t xml:space="preserve">Numer rachunku bankowego — do uzupełnienia, jak w dokumencie Premium.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2. Kampania jest aktywowana wyłącznie po ręcznym zaksięgowaniu wpłaty przez Usługodawcę; do tego czasu ma status „oczekuje płatności”.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3. Bieg 7-dniowego okresu Kampanii rozpoczyna się od chwili aktywacji, nie od chwili zgłoszenia ani wykonania przelewu.</w:t>
      </w:r>
    </w:p>
    <w:p>
      <w:pPr>
        <w:pStyle w:val="Heading2"/>
        <w:spacing w:after="140" w:before="32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§ 7. Reklamacje i odpowiedzialność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1. Reklamacje Reklamodawca zgłasza na adres e-mail Usługodawcy wskazany w § 1, podając nazwę firmy i referencję przelewu.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2. Odpowiedzialność Usługodawcy wobec Reklamodawcy z tytułu niewykonania lub nienależytego wykonania usługi ogranicza się do wysokości kwoty faktycznie zapłaconej za daną Kampanię, chyba że bezwzględnie obowiązujące przepisy prawa stanowią inaczej.</w:t>
      </w:r>
    </w:p>
    <w:p>
      <w:pPr>
        <w:pBdr>
          <w:left w:val="single" w:color="C0392B" w:sz="12" w:space="8"/>
        </w:pBdr>
        <w:spacing w:after="200" w:before="80"/>
        <w:ind w:left="360"/>
      </w:pPr>
      <w:r>
        <w:rPr>
          <w:rFonts w:ascii="Calibri" w:cs="Calibri" w:eastAsia="Calibri" w:hAnsi="Calibri"/>
          <w:b/>
          <w:bCs/>
          <w:color w:val="C0392B"/>
          <w:sz w:val="20"/>
          <w:szCs w:val="20"/>
        </w:rPr>
        <w:t xml:space="preserve">UWAGA REDAKCYJNA: </w:t>
      </w:r>
      <w:r>
        <w:rPr>
          <w:rFonts w:ascii="Calibri" w:cs="Calibri" w:eastAsia="Calibri" w:hAnsi="Calibri"/>
          <w:i/>
          <w:iCs/>
          <w:color w:val="C0392B"/>
          <w:sz w:val="20"/>
          <w:szCs w:val="20"/>
        </w:rPr>
        <w:t xml:space="preserve">Klauzula ograniczenia odpowiedzialności do wysokości zapłaconej kwoty jest typowa w B2B, ale wymaga potwierdzenia przez prawnika pod kątem zgodności z Kodeksem cywilnym, w tym ewentualnego statusu części Reklamodawców jako tzw. quasi-konsumentów (jednoosobowa działalność gospodarcza zawierająca umowę niezwiązaną bezpośrednio z jej profilem — art. 385⁵ Kodeksu cywilnego), do których część przepisów konsumenckich stosuje się odpowiednio.</w:t>
      </w:r>
    </w:p>
    <w:p>
      <w:pPr>
        <w:pStyle w:val="Heading2"/>
        <w:spacing w:after="140" w:before="32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§ 8. Postanowienia końcowe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1. W sprawach nieuregulowanych niniejszym Regulaminem zastosowanie mają powszechnie obowiązujące przepisy prawa polskiego, w szczególności Kodeksu cywilnego.</w:t>
      </w:r>
    </w:p>
    <w:p>
      <w:pPr>
        <w:spacing w:after="10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2. Usługodawca zastrzega sobie prawo do zmiany Regulaminu z ważnych przyczyn, o czym poinformuje Reklamodawców z odpowiednim wyprzedzeniem, publikując nową treść Regulaminu w Aplikacji.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2026-08-24T14:03:06.064Z</dcterms:created>
  <dcterms:modified xsi:type="dcterms:W3CDTF">2026-08-24T14:03:06.064Z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